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after="0" w:line="570" w:lineRule="exact"/>
        <w:jc w:val="both"/>
        <w:textAlignment w:val="auto"/>
        <w:outlineLvl w:val="9"/>
        <w:rPr>
          <w:rFonts w:hint="eastAsia" w:ascii="黑体" w:hAnsi="黑体" w:eastAsia="黑体"/>
          <w:color w:val="auto"/>
          <w:sz w:val="32"/>
          <w:lang w:val="en-US" w:eastAsia="zh-CN"/>
        </w:rPr>
      </w:pPr>
      <w:bookmarkStart w:id="0" w:name="bookmark28"/>
      <w:bookmarkStart w:id="1" w:name="bookmark27"/>
      <w:bookmarkStart w:id="2" w:name="bookmark26"/>
      <w:r>
        <w:rPr>
          <w:rFonts w:hint="eastAsia" w:ascii="黑体" w:hAnsi="黑体" w:eastAsia="黑体"/>
          <w:color w:val="auto"/>
          <w:sz w:val="32"/>
        </w:rPr>
        <w:t>附件</w:t>
      </w:r>
      <w:r>
        <w:rPr>
          <w:rFonts w:hint="eastAsia" w:ascii="黑体" w:hAnsi="黑体" w:eastAsia="黑体"/>
          <w:color w:val="auto"/>
          <w:sz w:val="32"/>
          <w:lang w:val="en-US" w:eastAsia="zh-CN"/>
        </w:rPr>
        <w:t>1</w:t>
      </w:r>
      <w:bookmarkStart w:id="3" w:name="_GoBack"/>
      <w:bookmarkEnd w:id="3"/>
    </w:p>
    <w:p>
      <w:pPr>
        <w:pStyle w:val="6"/>
        <w:keepNext w:val="0"/>
        <w:keepLines w:val="0"/>
        <w:pageBreakBefore w:val="0"/>
        <w:widowControl w:val="0"/>
        <w:kinsoku/>
        <w:wordWrap/>
        <w:overflowPunct/>
        <w:topLinePunct w:val="0"/>
        <w:autoSpaceDE/>
        <w:autoSpaceDN/>
        <w:bidi w:val="0"/>
        <w:adjustRightInd/>
        <w:snapToGrid/>
        <w:spacing w:after="0" w:line="640" w:lineRule="exact"/>
        <w:textAlignment w:val="auto"/>
        <w:outlineLvl w:val="0"/>
        <w:rPr>
          <w:rFonts w:ascii="Times New Roman" w:hAnsi="黑体" w:eastAsia="方正小标宋简体"/>
          <w:color w:val="auto"/>
          <w:sz w:val="44"/>
        </w:rPr>
      </w:pPr>
    </w:p>
    <w:p>
      <w:pPr>
        <w:pStyle w:val="6"/>
        <w:keepNext w:val="0"/>
        <w:keepLines w:val="0"/>
        <w:pageBreakBefore w:val="0"/>
        <w:widowControl w:val="0"/>
        <w:kinsoku/>
        <w:wordWrap/>
        <w:overflowPunct/>
        <w:topLinePunct w:val="0"/>
        <w:autoSpaceDE/>
        <w:autoSpaceDN/>
        <w:bidi w:val="0"/>
        <w:adjustRightInd/>
        <w:snapToGrid/>
        <w:spacing w:after="0" w:line="640" w:lineRule="exact"/>
        <w:textAlignment w:val="auto"/>
        <w:outlineLvl w:val="0"/>
        <w:rPr>
          <w:rFonts w:ascii="Times New Roman" w:eastAsia="方正小标宋简体"/>
          <w:color w:val="39413F"/>
          <w:sz w:val="44"/>
        </w:rPr>
      </w:pPr>
      <w:r>
        <w:rPr>
          <w:rFonts w:ascii="Times New Roman" w:eastAsia="方正小标宋简体"/>
          <w:color w:val="39413F"/>
          <w:sz w:val="44"/>
        </w:rPr>
        <w:t>第</w:t>
      </w:r>
      <w:r>
        <w:rPr>
          <w:rFonts w:hint="eastAsia" w:ascii="Times New Roman" w:hAnsi="Times New Roman" w:eastAsia="方正小标宋简体" w:cs="Times New Roman"/>
          <w:color w:val="39413F"/>
          <w:sz w:val="44"/>
          <w:szCs w:val="42"/>
          <w:lang w:val="en-US" w:eastAsia="zh-CN"/>
        </w:rPr>
        <w:t>三</w:t>
      </w:r>
      <w:r>
        <w:rPr>
          <w:rFonts w:ascii="Times New Roman" w:eastAsia="方正小标宋简体"/>
          <w:color w:val="39413F"/>
          <w:sz w:val="44"/>
        </w:rPr>
        <w:t>轮省级生态环境保护督察第</w:t>
      </w:r>
      <w:r>
        <w:rPr>
          <w:rFonts w:hint="eastAsia" w:ascii="Times New Roman" w:eastAsia="方正小标宋简体"/>
          <w:color w:val="39413F"/>
          <w:sz w:val="44"/>
          <w:lang w:val="en-US" w:eastAsia="zh-CN"/>
        </w:rPr>
        <w:t>一</w:t>
      </w:r>
      <w:r>
        <w:rPr>
          <w:rFonts w:ascii="Times New Roman" w:eastAsia="方正小标宋简体"/>
          <w:color w:val="39413F"/>
          <w:sz w:val="44"/>
        </w:rPr>
        <w:t>项</w:t>
      </w:r>
    </w:p>
    <w:p>
      <w:pPr>
        <w:pStyle w:val="6"/>
        <w:keepNext w:val="0"/>
        <w:keepLines w:val="0"/>
        <w:pageBreakBefore w:val="0"/>
        <w:widowControl w:val="0"/>
        <w:kinsoku/>
        <w:wordWrap/>
        <w:overflowPunct/>
        <w:topLinePunct w:val="0"/>
        <w:autoSpaceDE/>
        <w:autoSpaceDN/>
        <w:bidi w:val="0"/>
        <w:adjustRightInd/>
        <w:snapToGrid/>
        <w:spacing w:after="0" w:line="640" w:lineRule="exact"/>
        <w:textAlignment w:val="auto"/>
        <w:outlineLvl w:val="0"/>
        <w:rPr>
          <w:rFonts w:ascii="Times New Roman" w:eastAsia="方正小标宋简体"/>
          <w:color w:val="39413F"/>
          <w:sz w:val="44"/>
        </w:rPr>
      </w:pPr>
      <w:r>
        <w:rPr>
          <w:rFonts w:ascii="Times New Roman" w:eastAsia="方正小标宋简体"/>
          <w:color w:val="39413F"/>
          <w:sz w:val="44"/>
        </w:rPr>
        <w:t>整改任务完成情况表</w:t>
      </w:r>
      <w:bookmarkEnd w:id="0"/>
      <w:bookmarkEnd w:id="1"/>
      <w:bookmarkEnd w:id="2"/>
    </w:p>
    <w:p>
      <w:pPr>
        <w:pStyle w:val="6"/>
        <w:keepNext w:val="0"/>
        <w:keepLines w:val="0"/>
        <w:pageBreakBefore w:val="0"/>
        <w:widowControl w:val="0"/>
        <w:kinsoku/>
        <w:wordWrap/>
        <w:overflowPunct/>
        <w:topLinePunct w:val="0"/>
        <w:autoSpaceDE/>
        <w:autoSpaceDN/>
        <w:bidi w:val="0"/>
        <w:adjustRightInd/>
        <w:snapToGrid/>
        <w:spacing w:after="0" w:line="640" w:lineRule="exact"/>
        <w:textAlignment w:val="auto"/>
        <w:outlineLvl w:val="0"/>
        <w:rPr>
          <w:rFonts w:ascii="Times New Roman" w:eastAsia="方正小标宋简体"/>
          <w:sz w:val="44"/>
        </w:rPr>
      </w:pPr>
    </w:p>
    <w:tbl>
      <w:tblPr>
        <w:tblStyle w:val="4"/>
        <w:tblW w:w="0" w:type="auto"/>
        <w:jc w:val="center"/>
        <w:tblLayout w:type="fixed"/>
        <w:tblCellMar>
          <w:top w:w="0" w:type="dxa"/>
          <w:left w:w="10" w:type="dxa"/>
          <w:bottom w:w="0" w:type="dxa"/>
          <w:right w:w="10" w:type="dxa"/>
        </w:tblCellMar>
      </w:tblPr>
      <w:tblGrid>
        <w:gridCol w:w="1935"/>
        <w:gridCol w:w="6527"/>
      </w:tblGrid>
      <w:tr>
        <w:tblPrEx>
          <w:tblCellMar>
            <w:top w:w="0" w:type="dxa"/>
            <w:left w:w="10" w:type="dxa"/>
            <w:bottom w:w="0" w:type="dxa"/>
            <w:right w:w="10" w:type="dxa"/>
          </w:tblCellMar>
        </w:tblPrEx>
        <w:trPr>
          <w:jc w:val="center"/>
        </w:trPr>
        <w:tc>
          <w:tcPr>
            <w:tcW w:w="1935" w:type="dxa"/>
            <w:tcBorders>
              <w:top w:val="single" w:color="auto" w:sz="4" w:space="0"/>
              <w:left w:val="single" w:color="auto" w:sz="4" w:space="0"/>
            </w:tcBorders>
            <w:shd w:val="clear" w:color="auto" w:fill="FFFFFF"/>
            <w:vAlign w:val="center"/>
          </w:tcPr>
          <w:p>
            <w:pPr>
              <w:pStyle w:val="7"/>
              <w:spacing w:line="560" w:lineRule="exact"/>
              <w:ind w:firstLine="0"/>
              <w:jc w:val="center"/>
              <w:outlineLvl w:val="1"/>
              <w:rPr>
                <w:rFonts w:ascii="Times New Roman" w:hAnsi="黑体" w:eastAsia="黑体"/>
              </w:rPr>
            </w:pPr>
            <w:r>
              <w:rPr>
                <w:rFonts w:ascii="Times New Roman" w:hAnsi="黑体" w:eastAsia="黑体"/>
                <w:color w:val="39413F"/>
              </w:rPr>
              <w:t>整改任务</w:t>
            </w:r>
          </w:p>
        </w:tc>
        <w:tc>
          <w:tcPr>
            <w:tcW w:w="6527"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ind w:firstLine="632" w:firstLineChars="200"/>
              <w:jc w:val="both"/>
              <w:textAlignment w:val="auto"/>
              <w:rPr>
                <w:rFonts w:ascii="仿宋_GB2312" w:hAnsi="宋体" w:eastAsia="仿宋_GB2312" w:cs="宋体"/>
                <w:szCs w:val="32"/>
                <w:lang w:eastAsia="zh-CN"/>
              </w:rPr>
            </w:pPr>
            <w:r>
              <w:rPr>
                <w:rFonts w:hint="eastAsia" w:eastAsia="仿宋_GB2312"/>
                <w:color w:val="auto"/>
                <w:szCs w:val="32"/>
                <w:lang w:eastAsia="zh-CN"/>
              </w:rPr>
              <w:t>蜀道集团学习贯彻习近平生态文明思想不够深入，有的领导干部对“党政同责、一岗双责”认识还不到位，生态环境保护责任意识淡薄，生态环境保护人员配备不足。</w:t>
            </w:r>
          </w:p>
        </w:tc>
      </w:tr>
      <w:tr>
        <w:tblPrEx>
          <w:tblCellMar>
            <w:top w:w="0" w:type="dxa"/>
            <w:left w:w="10" w:type="dxa"/>
            <w:bottom w:w="0" w:type="dxa"/>
            <w:right w:w="10" w:type="dxa"/>
          </w:tblCellMar>
        </w:tblPrEx>
        <w:trPr>
          <w:trHeight w:val="1542" w:hRule="exact"/>
          <w:jc w:val="center"/>
        </w:trPr>
        <w:tc>
          <w:tcPr>
            <w:tcW w:w="1935" w:type="dxa"/>
            <w:tcBorders>
              <w:top w:val="single" w:color="auto" w:sz="4" w:space="0"/>
              <w:left w:val="single" w:color="auto" w:sz="4" w:space="0"/>
            </w:tcBorders>
            <w:shd w:val="clear" w:color="auto" w:fill="FFFFFF"/>
            <w:vAlign w:val="center"/>
          </w:tcPr>
          <w:p>
            <w:pPr>
              <w:pStyle w:val="7"/>
              <w:spacing w:line="560" w:lineRule="exact"/>
              <w:ind w:firstLine="0"/>
              <w:jc w:val="center"/>
              <w:outlineLvl w:val="1"/>
              <w:rPr>
                <w:rFonts w:ascii="Times New Roman" w:hAnsi="黑体" w:eastAsia="黑体"/>
              </w:rPr>
            </w:pPr>
            <w:r>
              <w:rPr>
                <w:rFonts w:ascii="Times New Roman" w:hAnsi="黑体" w:eastAsia="黑体"/>
                <w:color w:val="39413F"/>
              </w:rPr>
              <w:t>整改责任单位</w:t>
            </w:r>
          </w:p>
        </w:tc>
        <w:tc>
          <w:tcPr>
            <w:tcW w:w="6527" w:type="dxa"/>
            <w:tcBorders>
              <w:top w:val="single" w:color="auto" w:sz="4" w:space="0"/>
              <w:left w:val="single" w:color="auto" w:sz="4" w:space="0"/>
              <w:right w:val="single" w:color="auto" w:sz="4" w:space="0"/>
            </w:tcBorders>
            <w:shd w:val="clear" w:color="auto" w:fill="FFFFFF"/>
            <w:vAlign w:val="center"/>
          </w:tcPr>
          <w:p>
            <w:pPr>
              <w:spacing w:line="550" w:lineRule="exact"/>
              <w:jc w:val="center"/>
              <w:rPr>
                <w:rFonts w:hint="default" w:ascii="仿宋_GB2312" w:hAnsi="宋体" w:eastAsia="仿宋_GB2312" w:cs="宋体"/>
                <w:szCs w:val="32"/>
                <w:lang w:val="en-US" w:eastAsia="zh-CN"/>
              </w:rPr>
            </w:pPr>
            <w:r>
              <w:rPr>
                <w:rFonts w:hint="eastAsia" w:ascii="仿宋_GB2312" w:hAnsi="宋体" w:eastAsia="仿宋_GB2312" w:cs="宋体"/>
                <w:szCs w:val="32"/>
                <w:lang w:val="en-US" w:eastAsia="zh-CN"/>
              </w:rPr>
              <w:t>四川省川瑞发展投资有限公司</w:t>
            </w:r>
          </w:p>
        </w:tc>
      </w:tr>
      <w:tr>
        <w:tblPrEx>
          <w:tblCellMar>
            <w:top w:w="0" w:type="dxa"/>
            <w:left w:w="10" w:type="dxa"/>
            <w:bottom w:w="0" w:type="dxa"/>
            <w:right w:w="10" w:type="dxa"/>
          </w:tblCellMar>
        </w:tblPrEx>
        <w:trPr>
          <w:trHeight w:val="3482" w:hRule="exact"/>
          <w:jc w:val="center"/>
        </w:trPr>
        <w:tc>
          <w:tcPr>
            <w:tcW w:w="1935" w:type="dxa"/>
            <w:tcBorders>
              <w:top w:val="single" w:color="auto" w:sz="4" w:space="0"/>
              <w:left w:val="single" w:color="auto" w:sz="4" w:space="0"/>
              <w:bottom w:val="single" w:color="auto" w:sz="4" w:space="0"/>
            </w:tcBorders>
            <w:shd w:val="clear" w:color="auto" w:fill="FFFFFF"/>
            <w:vAlign w:val="center"/>
          </w:tcPr>
          <w:p>
            <w:pPr>
              <w:pStyle w:val="7"/>
              <w:spacing w:line="560" w:lineRule="exact"/>
              <w:ind w:firstLine="0"/>
              <w:jc w:val="center"/>
              <w:outlineLvl w:val="1"/>
              <w:rPr>
                <w:rFonts w:ascii="Times New Roman" w:hAnsi="黑体" w:eastAsia="黑体"/>
              </w:rPr>
            </w:pPr>
            <w:r>
              <w:rPr>
                <w:rFonts w:ascii="Times New Roman" w:hAnsi="黑体" w:eastAsia="黑体"/>
                <w:color w:val="39413F"/>
              </w:rPr>
              <w:t>整改目标</w:t>
            </w:r>
          </w:p>
        </w:tc>
        <w:tc>
          <w:tcPr>
            <w:tcW w:w="652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ind w:firstLine="632" w:firstLineChars="200"/>
              <w:jc w:val="both"/>
              <w:textAlignment w:val="auto"/>
              <w:rPr>
                <w:rFonts w:ascii="仿宋_GB2312" w:eastAsia="仿宋_GB2312"/>
                <w:szCs w:val="32"/>
                <w:lang w:eastAsia="zh-CN"/>
              </w:rPr>
            </w:pPr>
            <w:r>
              <w:rPr>
                <w:rFonts w:hint="eastAsia" w:eastAsia="仿宋_GB2312"/>
                <w:color w:val="auto"/>
                <w:szCs w:val="32"/>
                <w:lang w:eastAsia="zh-CN"/>
              </w:rPr>
              <w:t>深入学习领会贯彻习近平生态文明思想，牢固树立新发展理念，切实提高集团公司各级领导干部政治站位，充分认识生态环境保护的极端重要性，正确处理发展和生态环境保护的关系，严格落实“党政同责、一岗双责”，压紧压实生态环境保护企业主体责任，配齐配强人员力量，确保把党中央、国务院和省委、省政府生态环境保护决策部署贯彻落实到位。</w:t>
            </w:r>
          </w:p>
        </w:tc>
      </w:tr>
      <w:tr>
        <w:tblPrEx>
          <w:tblCellMar>
            <w:top w:w="0" w:type="dxa"/>
            <w:left w:w="10" w:type="dxa"/>
            <w:bottom w:w="0" w:type="dxa"/>
            <w:right w:w="10" w:type="dxa"/>
          </w:tblCellMar>
        </w:tblPrEx>
        <w:trPr>
          <w:jc w:val="center"/>
        </w:trPr>
        <w:tc>
          <w:tcPr>
            <w:tcW w:w="193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line="560" w:lineRule="exact"/>
              <w:ind w:firstLine="0"/>
              <w:jc w:val="center"/>
              <w:outlineLvl w:val="1"/>
              <w:rPr>
                <w:rFonts w:ascii="Times New Roman" w:hAnsi="黑体" w:eastAsia="黑体"/>
              </w:rPr>
            </w:pPr>
            <w:r>
              <w:rPr>
                <w:rFonts w:ascii="Times New Roman" w:hAnsi="黑体" w:eastAsia="黑体"/>
                <w:color w:val="1F2121"/>
              </w:rPr>
              <w:t>整改措施</w:t>
            </w:r>
          </w:p>
        </w:tc>
        <w:tc>
          <w:tcPr>
            <w:tcW w:w="652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ind w:firstLine="632" w:firstLineChars="200"/>
              <w:jc w:val="both"/>
              <w:textAlignment w:val="auto"/>
              <w:rPr>
                <w:rFonts w:eastAsia="仿宋_GB2312"/>
                <w:szCs w:val="32"/>
                <w:lang w:eastAsia="zh-CN"/>
              </w:rPr>
            </w:pPr>
            <w:r>
              <w:rPr>
                <w:rFonts w:hint="eastAsia" w:ascii="仿宋_GB2312" w:hAnsi="仿宋_GB2312" w:eastAsia="仿宋_GB2312" w:cs="仿宋_GB2312"/>
                <w:szCs w:val="32"/>
                <w:lang w:eastAsia="zh-CN"/>
              </w:rPr>
              <w:t>1</w:t>
            </w:r>
            <w:r>
              <w:rPr>
                <w:rFonts w:eastAsia="仿宋_GB2312"/>
                <w:szCs w:val="32"/>
                <w:lang w:eastAsia="zh-CN"/>
              </w:rPr>
              <w:t>.</w:t>
            </w:r>
            <w:r>
              <w:rPr>
                <w:rFonts w:hint="eastAsia" w:eastAsia="仿宋_GB2312"/>
                <w:szCs w:val="32"/>
                <w:lang w:eastAsia="zh-CN"/>
              </w:rPr>
              <w:t>加强习近平生态文明思想学习贯彻，将习近平生态文明思想和关于生态文明建设重要批示指示精神，作为党委会“第一议题”、党委中心组学习的必学内容，并抓好贯彻落实。</w:t>
            </w:r>
          </w:p>
          <w:p>
            <w:pPr>
              <w:keepNext w:val="0"/>
              <w:keepLines w:val="0"/>
              <w:pageBreakBefore w:val="0"/>
              <w:widowControl w:val="0"/>
              <w:kinsoku/>
              <w:wordWrap/>
              <w:overflowPunct/>
              <w:topLinePunct w:val="0"/>
              <w:autoSpaceDE/>
              <w:autoSpaceDN/>
              <w:bidi w:val="0"/>
              <w:adjustRightInd/>
              <w:snapToGrid/>
              <w:spacing w:line="400" w:lineRule="exact"/>
              <w:ind w:firstLine="632" w:firstLineChars="200"/>
              <w:jc w:val="both"/>
              <w:textAlignment w:val="auto"/>
              <w:rPr>
                <w:rFonts w:eastAsia="仿宋_GB2312"/>
                <w:color w:val="auto"/>
                <w:szCs w:val="32"/>
                <w:lang w:eastAsia="zh-CN"/>
              </w:rPr>
            </w:pPr>
            <w:r>
              <w:rPr>
                <w:rFonts w:eastAsia="仿宋_GB2312"/>
                <w:szCs w:val="32"/>
                <w:lang w:eastAsia="zh-CN"/>
              </w:rPr>
              <w:t>2.</w:t>
            </w:r>
            <w:r>
              <w:rPr>
                <w:rFonts w:hint="eastAsia" w:eastAsia="仿宋_GB2312"/>
                <w:szCs w:val="32"/>
                <w:lang w:eastAsia="zh-CN"/>
              </w:rPr>
              <w:t>将生态环境保护工作作为党委会、董事会、总经理办公会的重要内容，党委会、总经理办公会每年研究生态环境保护工作不少于4次。</w:t>
            </w:r>
          </w:p>
        </w:tc>
      </w:tr>
    </w:tbl>
    <w:p>
      <w:pPr>
        <w:pStyle w:val="7"/>
        <w:spacing w:line="560" w:lineRule="exact"/>
        <w:ind w:firstLine="0"/>
        <w:jc w:val="center"/>
        <w:outlineLvl w:val="1"/>
        <w:rPr>
          <w:rFonts w:ascii="Times New Roman" w:hAnsi="黑体" w:eastAsia="黑体"/>
          <w:color w:val="1F2121"/>
        </w:rPr>
      </w:pPr>
      <w:r>
        <w:rPr>
          <w:rFonts w:ascii="Times New Roman" w:hAnsi="黑体" w:eastAsia="黑体"/>
          <w:color w:val="1F2121"/>
        </w:rPr>
        <w:br w:type="page"/>
      </w:r>
    </w:p>
    <w:tbl>
      <w:tblPr>
        <w:tblStyle w:val="4"/>
        <w:tblW w:w="0" w:type="auto"/>
        <w:jc w:val="center"/>
        <w:tblLayout w:type="fixed"/>
        <w:tblCellMar>
          <w:top w:w="0" w:type="dxa"/>
          <w:left w:w="10" w:type="dxa"/>
          <w:bottom w:w="0" w:type="dxa"/>
          <w:right w:w="10" w:type="dxa"/>
        </w:tblCellMar>
      </w:tblPr>
      <w:tblGrid>
        <w:gridCol w:w="1980"/>
        <w:gridCol w:w="6482"/>
      </w:tblGrid>
      <w:tr>
        <w:tblPrEx>
          <w:tblCellMar>
            <w:top w:w="0" w:type="dxa"/>
            <w:left w:w="10" w:type="dxa"/>
            <w:bottom w:w="0" w:type="dxa"/>
            <w:right w:w="10" w:type="dxa"/>
          </w:tblCellMar>
        </w:tblPrEx>
        <w:trPr>
          <w:jc w:val="center"/>
        </w:trPr>
        <w:tc>
          <w:tcPr>
            <w:tcW w:w="1980" w:type="dxa"/>
            <w:tcBorders>
              <w:top w:val="single" w:color="auto" w:sz="4" w:space="0"/>
              <w:left w:val="single" w:color="auto" w:sz="4" w:space="0"/>
              <w:bottom w:val="single" w:color="auto" w:sz="4" w:space="0"/>
            </w:tcBorders>
            <w:shd w:val="clear" w:color="auto" w:fill="FFFFFF"/>
            <w:vAlign w:val="center"/>
          </w:tcPr>
          <w:p>
            <w:pPr>
              <w:pStyle w:val="7"/>
              <w:spacing w:line="560" w:lineRule="exact"/>
              <w:ind w:firstLine="0"/>
              <w:jc w:val="center"/>
              <w:outlineLvl w:val="1"/>
              <w:rPr>
                <w:rFonts w:ascii="Times New Roman" w:hAnsi="黑体" w:eastAsia="PMingLiU"/>
                <w:color w:val="1F2121"/>
              </w:rPr>
            </w:pPr>
            <w:r>
              <w:rPr>
                <w:rFonts w:ascii="Times New Roman" w:hAnsi="黑体" w:eastAsia="黑体"/>
                <w:color w:val="1F2121"/>
              </w:rPr>
              <w:t>整改主要工作</w:t>
            </w:r>
          </w:p>
          <w:p>
            <w:pPr>
              <w:pStyle w:val="7"/>
              <w:spacing w:line="560" w:lineRule="exact"/>
              <w:ind w:firstLine="0"/>
              <w:jc w:val="center"/>
              <w:outlineLvl w:val="1"/>
              <w:rPr>
                <w:rFonts w:ascii="Times New Roman" w:hAnsi="黑体" w:eastAsia="黑体"/>
              </w:rPr>
            </w:pPr>
            <w:r>
              <w:rPr>
                <w:rFonts w:ascii="Times New Roman" w:hAnsi="黑体" w:eastAsia="黑体"/>
                <w:color w:val="1F2121"/>
              </w:rPr>
              <w:t>及成效</w:t>
            </w:r>
          </w:p>
        </w:tc>
        <w:tc>
          <w:tcPr>
            <w:tcW w:w="6482"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632"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加强生态环保学习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1.2023年第4次总经理办公会-学习蜀道集团《关于转发&lt;四川省生态环保领域形式主义、官僚主义问题纠治工作的方案&gt;的通知》；</w:t>
            </w:r>
          </w:p>
          <w:p>
            <w:pPr>
              <w:keepNext w:val="0"/>
              <w:keepLines w:val="0"/>
              <w:pageBreakBefore w:val="0"/>
              <w:widowControl w:val="0"/>
              <w:kinsoku/>
              <w:wordWrap/>
              <w:overflowPunct/>
              <w:topLinePunct w:val="0"/>
              <w:autoSpaceDE/>
              <w:autoSpaceDN/>
              <w:bidi w:val="0"/>
              <w:adjustRightInd/>
              <w:snapToGrid/>
              <w:spacing w:line="400" w:lineRule="exact"/>
              <w:ind w:firstLine="63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2.2023年第5次（总第115次）党委传达学习习近平新时代中国特色社会主义思想学习纲要—关于新时代中国特色社会主义生态文明建设；</w:t>
            </w:r>
          </w:p>
          <w:p>
            <w:pPr>
              <w:keepNext w:val="0"/>
              <w:keepLines w:val="0"/>
              <w:pageBreakBefore w:val="0"/>
              <w:widowControl w:val="0"/>
              <w:kinsoku/>
              <w:wordWrap/>
              <w:overflowPunct/>
              <w:topLinePunct w:val="0"/>
              <w:autoSpaceDE/>
              <w:autoSpaceDN/>
              <w:bidi w:val="0"/>
              <w:adjustRightInd/>
              <w:snapToGrid/>
              <w:spacing w:line="400" w:lineRule="exact"/>
              <w:ind w:firstLine="63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3.2023年第16次（总第126次）党委（扩大）习近平总书记全国生态环境保护大会上的重要讲话精神；</w:t>
            </w:r>
          </w:p>
          <w:p>
            <w:pPr>
              <w:keepNext w:val="0"/>
              <w:keepLines w:val="0"/>
              <w:pageBreakBefore w:val="0"/>
              <w:widowControl w:val="0"/>
              <w:kinsoku/>
              <w:wordWrap/>
              <w:overflowPunct/>
              <w:topLinePunct w:val="0"/>
              <w:autoSpaceDE/>
              <w:autoSpaceDN/>
              <w:bidi w:val="0"/>
              <w:adjustRightInd/>
              <w:snapToGrid/>
              <w:spacing w:line="400" w:lineRule="exact"/>
              <w:ind w:firstLine="63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4.2023年第19次（总第129次）党委（扩大）会议纪要习近平总书记在全国生态日之际重要指示精神；</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第二届董事会第一百五十七次传达学习习近平新时代中国特色社会主义思想学习纲要—关于新时代中国特色社会主义生态文明建设；</w:t>
            </w:r>
          </w:p>
          <w:p>
            <w:pPr>
              <w:keepNext w:val="0"/>
              <w:keepLines w:val="0"/>
              <w:pageBreakBefore w:val="0"/>
              <w:widowControl w:val="0"/>
              <w:kinsoku/>
              <w:wordWrap/>
              <w:overflowPunct/>
              <w:topLinePunct w:val="0"/>
              <w:autoSpaceDE/>
              <w:autoSpaceDN/>
              <w:bidi w:val="0"/>
              <w:adjustRightInd/>
              <w:snapToGrid/>
              <w:spacing w:line="400" w:lineRule="exact"/>
              <w:ind w:firstLine="63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2023年第25次（总第135次）党委会习近平总书记《推进生态文明建设需要处理好几个重大关系》；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第二届董事会第一百七十一次会议传达学习习近平在全国生态环境保护大会上强调全面推进美丽中国建设加快推进人与自然和谐共生的现代化的议题。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二、研究生态环保工作</w:t>
            </w:r>
          </w:p>
          <w:p>
            <w:pPr>
              <w:keepNext w:val="0"/>
              <w:keepLines w:val="0"/>
              <w:pageBreakBefore w:val="0"/>
              <w:widowControl w:val="0"/>
              <w:kinsoku/>
              <w:wordWrap/>
              <w:overflowPunct/>
              <w:topLinePunct w:val="0"/>
              <w:autoSpaceDE/>
              <w:autoSpaceDN/>
              <w:bidi w:val="0"/>
              <w:adjustRightInd/>
              <w:snapToGrid/>
              <w:spacing w:line="400" w:lineRule="exact"/>
              <w:ind w:firstLine="63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1.2023年第9次总经理办公会-关于审议《2023年生态环保工作要点》《2023年安全生产和职业健康、生态环保督察计划》《2023年安全生产和职业健康、生态环保培训计划》；                 </w:t>
            </w:r>
          </w:p>
          <w:p>
            <w:pPr>
              <w:keepNext w:val="0"/>
              <w:keepLines w:val="0"/>
              <w:pageBreakBefore w:val="0"/>
              <w:widowControl w:val="0"/>
              <w:kinsoku/>
              <w:wordWrap/>
              <w:overflowPunct/>
              <w:topLinePunct w:val="0"/>
              <w:autoSpaceDE/>
              <w:autoSpaceDN/>
              <w:bidi w:val="0"/>
              <w:adjustRightInd/>
              <w:snapToGrid/>
              <w:spacing w:line="400" w:lineRule="exact"/>
              <w:ind w:firstLine="63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2.2023年第7次（总第117次）党委（扩大）：研究关于调整公司安全生产与职业健康工作领导小组、环境保护工作领导小组成员的议题；</w:t>
            </w:r>
          </w:p>
          <w:p>
            <w:pPr>
              <w:keepNext w:val="0"/>
              <w:keepLines w:val="0"/>
              <w:pageBreakBefore w:val="0"/>
              <w:widowControl w:val="0"/>
              <w:kinsoku/>
              <w:wordWrap/>
              <w:overflowPunct/>
              <w:topLinePunct w:val="0"/>
              <w:autoSpaceDE/>
              <w:autoSpaceDN/>
              <w:bidi w:val="0"/>
              <w:adjustRightInd/>
              <w:snapToGrid/>
              <w:spacing w:line="400" w:lineRule="exact"/>
              <w:ind w:firstLine="63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3.2023年第20次（总第130次）党委（扩大）会-汇报关于公司2023年上半年安全生产与职业健康、环境保护工作的议题；</w:t>
            </w:r>
          </w:p>
          <w:p>
            <w:pPr>
              <w:keepNext w:val="0"/>
              <w:keepLines w:val="0"/>
              <w:pageBreakBefore w:val="0"/>
              <w:widowControl w:val="0"/>
              <w:kinsoku/>
              <w:wordWrap/>
              <w:overflowPunct/>
              <w:topLinePunct w:val="0"/>
              <w:autoSpaceDE/>
              <w:autoSpaceDN/>
              <w:bidi w:val="0"/>
              <w:adjustRightInd/>
              <w:snapToGrid/>
              <w:spacing w:line="400" w:lineRule="exact"/>
              <w:ind w:firstLine="63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4.2023年第25次（总第135次）党委会-汇报关于公司2023年安全生产与职业健康、环境保护工作开展情况的事项；</w:t>
            </w:r>
          </w:p>
          <w:p>
            <w:pPr>
              <w:keepNext w:val="0"/>
              <w:keepLines w:val="0"/>
              <w:pageBreakBefore w:val="0"/>
              <w:widowControl w:val="0"/>
              <w:kinsoku/>
              <w:wordWrap/>
              <w:overflowPunct/>
              <w:topLinePunct w:val="0"/>
              <w:autoSpaceDE/>
              <w:autoSpaceDN/>
              <w:bidi w:val="0"/>
              <w:adjustRightInd/>
              <w:snapToGrid/>
              <w:spacing w:line="400" w:lineRule="exact"/>
              <w:ind w:firstLine="63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5.第二届董事会第一百七十一次会议汇报关于公司2023年安全生产与职业健康、环境保护工作开展情况的事项；</w:t>
            </w:r>
          </w:p>
          <w:p>
            <w:pPr>
              <w:keepNext w:val="0"/>
              <w:keepLines w:val="0"/>
              <w:pageBreakBefore w:val="0"/>
              <w:widowControl w:val="0"/>
              <w:kinsoku/>
              <w:wordWrap/>
              <w:overflowPunct/>
              <w:topLinePunct w:val="0"/>
              <w:autoSpaceDE/>
              <w:autoSpaceDN/>
              <w:bidi w:val="0"/>
              <w:adjustRightInd/>
              <w:snapToGrid/>
              <w:spacing w:line="400" w:lineRule="exact"/>
              <w:ind w:firstLine="632" w:firstLineChars="200"/>
              <w:jc w:val="both"/>
              <w:textAlignment w:val="auto"/>
              <w:rPr>
                <w:rFonts w:ascii="仿宋_GB2312" w:eastAsia="仿宋_GB2312"/>
                <w:szCs w:val="32"/>
                <w:lang w:eastAsia="zh-CN"/>
              </w:rPr>
            </w:pPr>
            <w:r>
              <w:rPr>
                <w:rFonts w:hint="eastAsia" w:ascii="仿宋_GB2312" w:hAnsi="仿宋_GB2312" w:eastAsia="仿宋_GB2312" w:cs="仿宋_GB2312"/>
                <w:color w:val="auto"/>
                <w:sz w:val="32"/>
                <w:szCs w:val="32"/>
                <w:lang w:eastAsia="zh-CN"/>
              </w:rPr>
              <w:t>6.</w:t>
            </w:r>
            <w:r>
              <w:rPr>
                <w:rFonts w:hint="eastAsia" w:ascii="仿宋_GB2312" w:hAnsi="仿宋_GB2312" w:eastAsia="仿宋_GB2312" w:cs="仿宋_GB2312"/>
                <w:b w:val="0"/>
                <w:bCs w:val="0"/>
                <w:color w:val="auto"/>
                <w:sz w:val="32"/>
                <w:szCs w:val="32"/>
                <w:lang w:eastAsia="zh-CN"/>
              </w:rPr>
              <w:t>2023</w:t>
            </w:r>
            <w:r>
              <w:rPr>
                <w:rFonts w:hint="eastAsia" w:ascii="仿宋_GB2312" w:hAnsi="仿宋_GB2312" w:eastAsia="仿宋_GB2312" w:cs="仿宋_GB2312"/>
                <w:color w:val="auto"/>
                <w:sz w:val="32"/>
                <w:szCs w:val="32"/>
                <w:lang w:eastAsia="zh-CN"/>
              </w:rPr>
              <w:t>年第18次总经理研究《四川省川瑞发展投资有限公司生态环境损害责任追究办法》。</w:t>
            </w:r>
          </w:p>
        </w:tc>
      </w:tr>
    </w:tbl>
    <w:p>
      <w:pPr>
        <w:rPr>
          <w:lang w:eastAsia="zh-CN"/>
        </w:rPr>
      </w:pPr>
    </w:p>
    <w:p/>
    <w:p/>
    <w:sectPr>
      <w:headerReference r:id="rId5" w:type="first"/>
      <w:headerReference r:id="rId3" w:type="default"/>
      <w:footerReference r:id="rId6" w:type="default"/>
      <w:headerReference r:id="rId4" w:type="even"/>
      <w:footerReference r:id="rId7" w:type="even"/>
      <w:pgSz w:w="11907" w:h="16839"/>
      <w:pgMar w:top="2098" w:right="1474" w:bottom="1984" w:left="1587" w:header="850" w:footer="1417" w:gutter="0"/>
      <w:pgBorders>
        <w:top w:val="none" w:sz="0" w:space="0"/>
        <w:left w:val="none" w:sz="0" w:space="0"/>
        <w:bottom w:val="none" w:sz="0" w:space="0"/>
        <w:right w:val="none" w:sz="0" w:space="0"/>
      </w:pgBorders>
      <w:cols w:space="425" w:num="1"/>
      <w:docGrid w:type="linesAndChars" w:linePitch="579"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方正小标宋简体">
    <w:panose1 w:val="02000000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napToGrid/>
      <w:ind w:right="320" w:rightChars="100"/>
      <w:jc w:val="right"/>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napToGrid/>
      <w:ind w:left="320" w:leftChars="100"/>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Page \* MERGEFORMAT </w:instrText>
    </w:r>
    <w:r>
      <w:rPr>
        <w:rFonts w:ascii="宋体" w:hAnsi="宋体" w:eastAsia="宋体"/>
        <w:sz w:val="28"/>
      </w:rPr>
      <w:fldChar w:fldCharType="separate"/>
    </w:r>
    <w:r>
      <w:rPr>
        <w:rFonts w:ascii="宋体" w:hAnsi="宋体" w:eastAsia="宋体"/>
        <w:sz w:val="28"/>
      </w:rPr>
      <w:t>3</w:t>
    </w:r>
    <w:r>
      <w:rPr>
        <w:rFonts w:ascii="宋体" w:hAnsi="宋体" w:eastAsia="宋体"/>
        <w:sz w:val="28"/>
      </w:rPr>
      <w:fldChar w:fldCharType="end"/>
    </w:r>
    <w:r>
      <w:rPr>
        <w:rFonts w:ascii="宋体" w:hAnsi="宋体" w:eastAsia="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EAF72"/>
    <w:multiLevelType w:val="singleLevel"/>
    <w:tmpl w:val="5F3EAF7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9C0A2D"/>
    <w:rsid w:val="001118F7"/>
    <w:rsid w:val="00BC4E23"/>
    <w:rsid w:val="016E1AEA"/>
    <w:rsid w:val="033C790D"/>
    <w:rsid w:val="03B127C1"/>
    <w:rsid w:val="04200C86"/>
    <w:rsid w:val="042D6017"/>
    <w:rsid w:val="043A55CB"/>
    <w:rsid w:val="04CD0601"/>
    <w:rsid w:val="0510562A"/>
    <w:rsid w:val="0574138C"/>
    <w:rsid w:val="058D0CFD"/>
    <w:rsid w:val="0682214E"/>
    <w:rsid w:val="06BC134F"/>
    <w:rsid w:val="06C31011"/>
    <w:rsid w:val="07271938"/>
    <w:rsid w:val="07561382"/>
    <w:rsid w:val="076A4F87"/>
    <w:rsid w:val="07AD3770"/>
    <w:rsid w:val="08786DED"/>
    <w:rsid w:val="08C84725"/>
    <w:rsid w:val="099028E0"/>
    <w:rsid w:val="09D962B6"/>
    <w:rsid w:val="09E55E81"/>
    <w:rsid w:val="0BA75744"/>
    <w:rsid w:val="0E4B1B0C"/>
    <w:rsid w:val="0EBF4C81"/>
    <w:rsid w:val="10804F74"/>
    <w:rsid w:val="11612D78"/>
    <w:rsid w:val="11736D32"/>
    <w:rsid w:val="127D6325"/>
    <w:rsid w:val="12AC14D1"/>
    <w:rsid w:val="13FD1792"/>
    <w:rsid w:val="140E3932"/>
    <w:rsid w:val="14733E04"/>
    <w:rsid w:val="154A7DA6"/>
    <w:rsid w:val="15687DF3"/>
    <w:rsid w:val="1586054A"/>
    <w:rsid w:val="17153137"/>
    <w:rsid w:val="17272D69"/>
    <w:rsid w:val="17512972"/>
    <w:rsid w:val="17570AA1"/>
    <w:rsid w:val="17C80904"/>
    <w:rsid w:val="17E64B77"/>
    <w:rsid w:val="186B4543"/>
    <w:rsid w:val="19B26FF7"/>
    <w:rsid w:val="1A1002B9"/>
    <w:rsid w:val="1A1B71F0"/>
    <w:rsid w:val="1A5D17DF"/>
    <w:rsid w:val="1AA31E1A"/>
    <w:rsid w:val="1AF55992"/>
    <w:rsid w:val="1BEC5D56"/>
    <w:rsid w:val="1C637794"/>
    <w:rsid w:val="1D0B174C"/>
    <w:rsid w:val="1D516EAA"/>
    <w:rsid w:val="1E0B3D5B"/>
    <w:rsid w:val="1E0E54D4"/>
    <w:rsid w:val="1E122D02"/>
    <w:rsid w:val="1E63693E"/>
    <w:rsid w:val="1ECC3AB0"/>
    <w:rsid w:val="1F161805"/>
    <w:rsid w:val="1FC523B7"/>
    <w:rsid w:val="211474DD"/>
    <w:rsid w:val="21641CF7"/>
    <w:rsid w:val="21D32D5C"/>
    <w:rsid w:val="22126E5D"/>
    <w:rsid w:val="22384359"/>
    <w:rsid w:val="2250423B"/>
    <w:rsid w:val="225B5ED8"/>
    <w:rsid w:val="22A715C6"/>
    <w:rsid w:val="22AE1D2D"/>
    <w:rsid w:val="22D13934"/>
    <w:rsid w:val="2314434A"/>
    <w:rsid w:val="24785929"/>
    <w:rsid w:val="25190E2C"/>
    <w:rsid w:val="253B4B3F"/>
    <w:rsid w:val="2561543D"/>
    <w:rsid w:val="261909CC"/>
    <w:rsid w:val="26CB2584"/>
    <w:rsid w:val="272B7964"/>
    <w:rsid w:val="27321ECF"/>
    <w:rsid w:val="28164DFC"/>
    <w:rsid w:val="28180B8E"/>
    <w:rsid w:val="2A063B78"/>
    <w:rsid w:val="2A73520F"/>
    <w:rsid w:val="2AEE7216"/>
    <w:rsid w:val="2D3456C0"/>
    <w:rsid w:val="2DD644C9"/>
    <w:rsid w:val="2E1874E7"/>
    <w:rsid w:val="2E3E32DF"/>
    <w:rsid w:val="2E8C3F2F"/>
    <w:rsid w:val="2EAE51AA"/>
    <w:rsid w:val="2F2E1CC0"/>
    <w:rsid w:val="2F4D36E7"/>
    <w:rsid w:val="30B94652"/>
    <w:rsid w:val="31277568"/>
    <w:rsid w:val="31B52CD4"/>
    <w:rsid w:val="325C4E74"/>
    <w:rsid w:val="326C2A4D"/>
    <w:rsid w:val="337B65F4"/>
    <w:rsid w:val="34DB4A36"/>
    <w:rsid w:val="35192B1B"/>
    <w:rsid w:val="362E1671"/>
    <w:rsid w:val="371B38D3"/>
    <w:rsid w:val="377C3589"/>
    <w:rsid w:val="37BD7E35"/>
    <w:rsid w:val="386A3FC5"/>
    <w:rsid w:val="38F53E5E"/>
    <w:rsid w:val="391564BB"/>
    <w:rsid w:val="3A3176C4"/>
    <w:rsid w:val="3ACB1C4C"/>
    <w:rsid w:val="3BD14F0A"/>
    <w:rsid w:val="3CC074EE"/>
    <w:rsid w:val="3E723871"/>
    <w:rsid w:val="3EF37F6B"/>
    <w:rsid w:val="3F623152"/>
    <w:rsid w:val="417B35BA"/>
    <w:rsid w:val="41EA4A2F"/>
    <w:rsid w:val="42E23237"/>
    <w:rsid w:val="43684B00"/>
    <w:rsid w:val="43B8471D"/>
    <w:rsid w:val="43D15ABA"/>
    <w:rsid w:val="44004B97"/>
    <w:rsid w:val="44147312"/>
    <w:rsid w:val="443C6A90"/>
    <w:rsid w:val="44D05902"/>
    <w:rsid w:val="45044F02"/>
    <w:rsid w:val="455F0840"/>
    <w:rsid w:val="45DF01BD"/>
    <w:rsid w:val="46332020"/>
    <w:rsid w:val="471A29BD"/>
    <w:rsid w:val="477C36C8"/>
    <w:rsid w:val="47850AC3"/>
    <w:rsid w:val="481A6B02"/>
    <w:rsid w:val="48233D29"/>
    <w:rsid w:val="483632D1"/>
    <w:rsid w:val="48607F1E"/>
    <w:rsid w:val="48653FC4"/>
    <w:rsid w:val="48691D93"/>
    <w:rsid w:val="48885894"/>
    <w:rsid w:val="48BA21B7"/>
    <w:rsid w:val="4A2045DE"/>
    <w:rsid w:val="4A8C47D8"/>
    <w:rsid w:val="4A9348D7"/>
    <w:rsid w:val="4BDF1154"/>
    <w:rsid w:val="4CCD411F"/>
    <w:rsid w:val="4CE72D50"/>
    <w:rsid w:val="4D667345"/>
    <w:rsid w:val="4E245E9A"/>
    <w:rsid w:val="4E7C2C43"/>
    <w:rsid w:val="4E867F6E"/>
    <w:rsid w:val="4F187FE9"/>
    <w:rsid w:val="50737DC4"/>
    <w:rsid w:val="5087471F"/>
    <w:rsid w:val="52414637"/>
    <w:rsid w:val="52B11E60"/>
    <w:rsid w:val="5374103E"/>
    <w:rsid w:val="543209BC"/>
    <w:rsid w:val="543F16D5"/>
    <w:rsid w:val="54E11F15"/>
    <w:rsid w:val="555A4DBB"/>
    <w:rsid w:val="55BC5ED9"/>
    <w:rsid w:val="55D644DC"/>
    <w:rsid w:val="561469F9"/>
    <w:rsid w:val="5638119C"/>
    <w:rsid w:val="566F4968"/>
    <w:rsid w:val="56842540"/>
    <w:rsid w:val="56B75AE8"/>
    <w:rsid w:val="57052813"/>
    <w:rsid w:val="57270550"/>
    <w:rsid w:val="579C4BDD"/>
    <w:rsid w:val="57D32BCA"/>
    <w:rsid w:val="57DF4E85"/>
    <w:rsid w:val="583E1F45"/>
    <w:rsid w:val="58460218"/>
    <w:rsid w:val="585D1733"/>
    <w:rsid w:val="5A0939FC"/>
    <w:rsid w:val="5A226613"/>
    <w:rsid w:val="5AA92DE3"/>
    <w:rsid w:val="5B504DDA"/>
    <w:rsid w:val="5BDC6043"/>
    <w:rsid w:val="5BE35502"/>
    <w:rsid w:val="5C01410D"/>
    <w:rsid w:val="5C8F1A56"/>
    <w:rsid w:val="5DB5047F"/>
    <w:rsid w:val="5DBB367E"/>
    <w:rsid w:val="5E021264"/>
    <w:rsid w:val="5F440480"/>
    <w:rsid w:val="5FFC0961"/>
    <w:rsid w:val="60384576"/>
    <w:rsid w:val="61B05DA7"/>
    <w:rsid w:val="62223D5D"/>
    <w:rsid w:val="62576040"/>
    <w:rsid w:val="62725A7A"/>
    <w:rsid w:val="63B760CE"/>
    <w:rsid w:val="63BA68F7"/>
    <w:rsid w:val="63F94E9F"/>
    <w:rsid w:val="64005EEF"/>
    <w:rsid w:val="64055CAB"/>
    <w:rsid w:val="64183FA1"/>
    <w:rsid w:val="64666B39"/>
    <w:rsid w:val="64B57A3C"/>
    <w:rsid w:val="64E91541"/>
    <w:rsid w:val="650B1056"/>
    <w:rsid w:val="657519C0"/>
    <w:rsid w:val="659A414A"/>
    <w:rsid w:val="65FA4D9F"/>
    <w:rsid w:val="660C422B"/>
    <w:rsid w:val="66A9704C"/>
    <w:rsid w:val="674226D1"/>
    <w:rsid w:val="6858616C"/>
    <w:rsid w:val="68975094"/>
    <w:rsid w:val="69E643A6"/>
    <w:rsid w:val="6A8B507D"/>
    <w:rsid w:val="6AFB3F33"/>
    <w:rsid w:val="6C4526E4"/>
    <w:rsid w:val="6C681830"/>
    <w:rsid w:val="6DA045B3"/>
    <w:rsid w:val="6E531593"/>
    <w:rsid w:val="6E740B4F"/>
    <w:rsid w:val="6E9C0A2D"/>
    <w:rsid w:val="6FD5190C"/>
    <w:rsid w:val="6FE96BAC"/>
    <w:rsid w:val="70813D74"/>
    <w:rsid w:val="71492E84"/>
    <w:rsid w:val="724C0AA4"/>
    <w:rsid w:val="72653CBB"/>
    <w:rsid w:val="728F1618"/>
    <w:rsid w:val="72A56CAF"/>
    <w:rsid w:val="74370CDD"/>
    <w:rsid w:val="749E3D89"/>
    <w:rsid w:val="76566FBB"/>
    <w:rsid w:val="77455036"/>
    <w:rsid w:val="777E79FC"/>
    <w:rsid w:val="779032D5"/>
    <w:rsid w:val="779C7455"/>
    <w:rsid w:val="78A300AA"/>
    <w:rsid w:val="79007D85"/>
    <w:rsid w:val="7914092C"/>
    <w:rsid w:val="79D67E86"/>
    <w:rsid w:val="7A6B1E80"/>
    <w:rsid w:val="7AFF54F5"/>
    <w:rsid w:val="7D165F4C"/>
    <w:rsid w:val="7DEF4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32"/>
      <w:szCs w:val="24"/>
      <w:lang w:val="en-US" w:eastAsia="en-US" w:bidi="en-US"/>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Heading #2|1"/>
    <w:basedOn w:val="1"/>
    <w:qFormat/>
    <w:uiPriority w:val="0"/>
    <w:pPr>
      <w:spacing w:after="520" w:line="641" w:lineRule="exact"/>
      <w:jc w:val="center"/>
      <w:outlineLvl w:val="1"/>
    </w:pPr>
    <w:rPr>
      <w:rFonts w:ascii="宋体" w:hAnsi="宋体" w:eastAsia="宋体" w:cs="宋体"/>
      <w:sz w:val="46"/>
      <w:szCs w:val="46"/>
      <w:lang w:val="zh-TW" w:eastAsia="zh-TW" w:bidi="zh-TW"/>
    </w:rPr>
  </w:style>
  <w:style w:type="paragraph" w:customStyle="1" w:styleId="7">
    <w:name w:val="Other|1"/>
    <w:basedOn w:val="1"/>
    <w:qFormat/>
    <w:uiPriority w:val="0"/>
    <w:pPr>
      <w:spacing w:line="374" w:lineRule="auto"/>
      <w:ind w:firstLine="400"/>
    </w:pPr>
    <w:rPr>
      <w:rFonts w:ascii="宋体" w:hAnsi="宋体" w:eastAsia="宋体" w:cs="宋体"/>
      <w:szCs w:val="3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2023-10-10T06:59:00Z</dcterms:created>
  <dc:creator>琦</dc:creator>
  <cp:lastModifiedBy>琦</cp:lastModifiedBy>
  <cp:lastPrinted>2024-01-12T03:43:40Z</cp:lastPrinted>
  <dcterms:modified xsi:type="dcterms:W3CDTF">2024-01-12T03:57:03Z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3F36CCD39B30409E9147BBF9D786EFA6</vt:lpwstr>
  </property>
</Properties>
</file>